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57ADE" w14:textId="58078BC3" w:rsidR="002E63E7" w:rsidRPr="00342033" w:rsidRDefault="00887799" w:rsidP="00E433B8">
      <w:pPr>
        <w:spacing w:before="120"/>
        <w:rPr>
          <w:rFonts w:ascii="Arial" w:hAnsi="Arial" w:cs="Arial"/>
          <w:b/>
          <w:sz w:val="28"/>
          <w:szCs w:val="28"/>
        </w:rPr>
      </w:pPr>
      <w:r w:rsidRPr="00342033">
        <w:rPr>
          <w:rFonts w:ascii="Arial" w:hAnsi="Arial" w:cs="Arial"/>
          <w:b/>
          <w:sz w:val="28"/>
          <w:szCs w:val="28"/>
        </w:rPr>
        <w:t>What is a MASTERMIND Study?</w:t>
      </w:r>
    </w:p>
    <w:p w14:paraId="1C19B839" w14:textId="461FC5CA" w:rsidR="002E63E7" w:rsidRPr="00483140" w:rsidRDefault="00887799" w:rsidP="001527FA">
      <w:pPr>
        <w:spacing w:after="0" w:line="240" w:lineRule="auto"/>
        <w:rPr>
          <w:rFonts w:ascii="Arial" w:hAnsi="Arial" w:cs="Arial"/>
          <w:color w:val="000000" w:themeColor="text1"/>
          <w:sz w:val="28"/>
          <w:szCs w:val="28"/>
        </w:rPr>
      </w:pPr>
      <w:r w:rsidRPr="00483140">
        <w:rPr>
          <w:rFonts w:ascii="Arial" w:hAnsi="Arial" w:cs="Arial"/>
          <w:sz w:val="28"/>
          <w:szCs w:val="28"/>
        </w:rPr>
        <w:t>New diagnostics are urgently needed to address emerging antimicrobial resistance. The Antibacterial Resistance Leadership Group (ARLG) proposes a strategy called MASTERMIND (</w:t>
      </w:r>
      <w:r w:rsidRPr="00483140">
        <w:rPr>
          <w:rFonts w:ascii="Arial" w:eastAsia="Times New Roman" w:hAnsi="Arial" w:cs="Arial"/>
          <w:color w:val="000000"/>
          <w:sz w:val="28"/>
          <w:szCs w:val="28"/>
        </w:rPr>
        <w:t>MASTER</w:t>
      </w:r>
      <w:r w:rsidRPr="00483140">
        <w:rPr>
          <w:rFonts w:ascii="Arial" w:hAnsi="Arial" w:cs="Arial"/>
          <w:sz w:val="28"/>
          <w:szCs w:val="28"/>
        </w:rPr>
        <w:t xml:space="preserve"> protocol for evaluating Multiple INfection Diagnostics) for advancement of infectious diseases diagnostics. The goal of this strategy is to generate the data necessary to support FDA clearance of new diagnostic tests by promoting research that might not have otherwise been feasible with conventional trial designs. MASTERMIND uses a single subject’s sample(s) to evaluate multiple diagnostic tests at the same time, providing efficiencies of specimen collection and characterization.</w:t>
      </w:r>
      <w:r w:rsidRPr="00483140">
        <w:rPr>
          <w:rFonts w:ascii="Arial" w:hAnsi="Arial" w:cs="Arial"/>
          <w:color w:val="000000" w:themeColor="text1"/>
          <w:sz w:val="28"/>
          <w:szCs w:val="28"/>
        </w:rPr>
        <w:t xml:space="preserve"> </w:t>
      </w:r>
      <w:r w:rsidR="002D4198" w:rsidRPr="00483140">
        <w:rPr>
          <w:rFonts w:ascii="Arial" w:hAnsi="Arial" w:cs="Arial"/>
          <w:color w:val="000000" w:themeColor="text1"/>
          <w:sz w:val="28"/>
          <w:szCs w:val="28"/>
        </w:rPr>
        <w:t xml:space="preserve">It also </w:t>
      </w:r>
      <w:r w:rsidRPr="00483140">
        <w:rPr>
          <w:rFonts w:ascii="Arial" w:hAnsi="Arial" w:cs="Arial"/>
          <w:color w:val="000000" w:themeColor="text1"/>
          <w:sz w:val="28"/>
          <w:szCs w:val="28"/>
        </w:rPr>
        <w:t>overcomes many of the monetary and logistical hurdles associated with clinical trials of new diagnostics</w:t>
      </w:r>
      <w:r w:rsidR="00BA36B1" w:rsidRPr="00DA548C">
        <w:rPr>
          <w:rFonts w:ascii="Arial" w:hAnsi="Arial" w:cs="Arial"/>
          <w:color w:val="000000" w:themeColor="text1"/>
          <w:sz w:val="28"/>
          <w:szCs w:val="28"/>
          <w:vertAlign w:val="superscript"/>
        </w:rPr>
        <w:t>1</w:t>
      </w:r>
      <w:r w:rsidR="00730027" w:rsidRPr="00483140">
        <w:rPr>
          <w:rFonts w:ascii="Arial" w:hAnsi="Arial" w:cs="Arial"/>
          <w:color w:val="000000" w:themeColor="text1"/>
          <w:sz w:val="28"/>
          <w:szCs w:val="28"/>
        </w:rPr>
        <w:t>.</w:t>
      </w:r>
      <w:r w:rsidR="002D4198" w:rsidRPr="00483140">
        <w:rPr>
          <w:rFonts w:ascii="Arial" w:hAnsi="Arial" w:cs="Arial"/>
          <w:color w:val="000000" w:themeColor="text1"/>
          <w:sz w:val="28"/>
          <w:szCs w:val="28"/>
        </w:rPr>
        <w:t xml:space="preserve"> </w:t>
      </w:r>
      <w:r w:rsidR="001527FA" w:rsidRPr="00483140">
        <w:rPr>
          <w:rFonts w:ascii="Arial" w:hAnsi="Arial" w:cs="Arial"/>
          <w:color w:val="000000" w:themeColor="text1"/>
          <w:sz w:val="28"/>
          <w:szCs w:val="28"/>
        </w:rPr>
        <w:t>ARLG is bring</w:t>
      </w:r>
      <w:r w:rsidR="009E5AA4">
        <w:rPr>
          <w:rFonts w:ascii="Arial" w:hAnsi="Arial" w:cs="Arial"/>
          <w:color w:val="000000" w:themeColor="text1"/>
          <w:sz w:val="28"/>
          <w:szCs w:val="28"/>
        </w:rPr>
        <w:t>ing together infectious disease</w:t>
      </w:r>
      <w:r w:rsidR="001527FA" w:rsidRPr="00483140">
        <w:rPr>
          <w:rFonts w:ascii="Arial" w:hAnsi="Arial" w:cs="Arial"/>
          <w:color w:val="000000" w:themeColor="text1"/>
          <w:sz w:val="28"/>
          <w:szCs w:val="28"/>
        </w:rPr>
        <w:t xml:space="preserve"> physicians, clinical microbiologists, statisticians, and </w:t>
      </w:r>
      <w:r w:rsidR="001527FA">
        <w:rPr>
          <w:rFonts w:ascii="Arial" w:hAnsi="Arial" w:cs="Arial"/>
          <w:color w:val="000000" w:themeColor="text1"/>
          <w:sz w:val="28"/>
          <w:szCs w:val="28"/>
        </w:rPr>
        <w:t>diagnostic</w:t>
      </w:r>
      <w:r w:rsidR="001527FA" w:rsidRPr="00483140">
        <w:rPr>
          <w:rFonts w:ascii="Arial" w:hAnsi="Arial" w:cs="Arial"/>
          <w:color w:val="000000" w:themeColor="text1"/>
          <w:sz w:val="28"/>
          <w:szCs w:val="28"/>
        </w:rPr>
        <w:t xml:space="preserve"> companies</w:t>
      </w:r>
      <w:r w:rsidR="001527FA">
        <w:rPr>
          <w:rFonts w:ascii="Arial" w:hAnsi="Arial" w:cs="Arial"/>
          <w:color w:val="000000" w:themeColor="text1"/>
          <w:sz w:val="28"/>
          <w:szCs w:val="28"/>
        </w:rPr>
        <w:t xml:space="preserve"> who are potentially interested in collaborating on MASTERMIND studies for specific diagnostic tests</w:t>
      </w:r>
      <w:r w:rsidR="00730027">
        <w:rPr>
          <w:rFonts w:ascii="Arial" w:hAnsi="Arial" w:cs="Arial"/>
          <w:color w:val="000000" w:themeColor="text1"/>
          <w:sz w:val="28"/>
          <w:szCs w:val="28"/>
        </w:rPr>
        <w:t>.</w:t>
      </w:r>
    </w:p>
    <w:p w14:paraId="18E8E7D8" w14:textId="77777777" w:rsidR="00342033" w:rsidRPr="00342033" w:rsidRDefault="00342033" w:rsidP="00342033">
      <w:pPr>
        <w:spacing w:after="0" w:line="240" w:lineRule="auto"/>
        <w:rPr>
          <w:rFonts w:ascii="Arial" w:hAnsi="Arial" w:cs="Arial"/>
          <w:color w:val="000000" w:themeColor="text1"/>
          <w:sz w:val="24"/>
          <w:szCs w:val="24"/>
        </w:rPr>
      </w:pPr>
    </w:p>
    <w:p w14:paraId="3A130975" w14:textId="77777777" w:rsidR="00887799" w:rsidRPr="00342033" w:rsidRDefault="00342033" w:rsidP="00483140">
      <w:pPr>
        <w:spacing w:after="0"/>
        <w:rPr>
          <w:rFonts w:ascii="Arial" w:hAnsi="Arial" w:cs="Arial"/>
          <w:b/>
          <w:sz w:val="28"/>
          <w:szCs w:val="28"/>
        </w:rPr>
      </w:pPr>
      <w:r>
        <w:rPr>
          <w:rFonts w:ascii="Arial" w:hAnsi="Arial" w:cs="Arial"/>
          <w:b/>
          <w:sz w:val="28"/>
          <w:szCs w:val="28"/>
        </w:rPr>
        <w:t>Targeted Diagnostics</w:t>
      </w:r>
      <w:r w:rsidR="007A11CF">
        <w:rPr>
          <w:rFonts w:ascii="Arial" w:hAnsi="Arial" w:cs="Arial"/>
          <w:b/>
          <w:sz w:val="28"/>
          <w:szCs w:val="28"/>
        </w:rPr>
        <w:t xml:space="preserve"> for a MASTERMIND S</w:t>
      </w:r>
      <w:r w:rsidR="001527FA">
        <w:rPr>
          <w:rFonts w:ascii="Arial" w:hAnsi="Arial" w:cs="Arial"/>
          <w:b/>
          <w:sz w:val="28"/>
          <w:szCs w:val="28"/>
        </w:rPr>
        <w:t>tudy</w:t>
      </w:r>
      <w:r w:rsidR="001527FA" w:rsidRPr="00342033">
        <w:rPr>
          <w:rFonts w:ascii="Arial" w:hAnsi="Arial" w:cs="Arial"/>
          <w:b/>
          <w:sz w:val="28"/>
          <w:szCs w:val="28"/>
        </w:rPr>
        <w:t>:</w:t>
      </w:r>
    </w:p>
    <w:p w14:paraId="075EABFE" w14:textId="4D0D1D98" w:rsidR="00887799" w:rsidRPr="00662ADA" w:rsidRDefault="00662ADA" w:rsidP="00483140">
      <w:pPr>
        <w:pStyle w:val="ListParagraph"/>
        <w:numPr>
          <w:ilvl w:val="0"/>
          <w:numId w:val="2"/>
        </w:numPr>
        <w:spacing w:after="0"/>
        <w:rPr>
          <w:rFonts w:ascii="Arial" w:hAnsi="Arial" w:cs="Arial"/>
          <w:sz w:val="28"/>
          <w:szCs w:val="28"/>
        </w:rPr>
      </w:pPr>
      <w:r w:rsidRPr="00662ADA">
        <w:rPr>
          <w:rFonts w:ascii="Arial" w:hAnsi="Arial" w:cs="Arial"/>
          <w:sz w:val="28"/>
          <w:szCs w:val="28"/>
        </w:rPr>
        <w:t>B</w:t>
      </w:r>
      <w:r w:rsidR="00055481">
        <w:rPr>
          <w:rFonts w:ascii="Arial" w:hAnsi="Arial" w:cs="Arial"/>
          <w:sz w:val="28"/>
          <w:szCs w:val="28"/>
        </w:rPr>
        <w:t>acterial b</w:t>
      </w:r>
      <w:r w:rsidRPr="00662ADA">
        <w:rPr>
          <w:rFonts w:ascii="Arial" w:hAnsi="Arial" w:cs="Arial"/>
          <w:sz w:val="28"/>
          <w:szCs w:val="28"/>
        </w:rPr>
        <w:t>lood</w:t>
      </w:r>
      <w:r w:rsidR="00A54073">
        <w:rPr>
          <w:rFonts w:ascii="Arial" w:hAnsi="Arial" w:cs="Arial"/>
          <w:sz w:val="28"/>
          <w:szCs w:val="28"/>
        </w:rPr>
        <w:t>stream infection</w:t>
      </w:r>
    </w:p>
    <w:p w14:paraId="55F8E49F" w14:textId="63C8D210" w:rsidR="00342033" w:rsidRDefault="00055481" w:rsidP="001527FA">
      <w:pPr>
        <w:pStyle w:val="ListParagraph"/>
        <w:numPr>
          <w:ilvl w:val="0"/>
          <w:numId w:val="2"/>
        </w:numPr>
        <w:spacing w:after="0"/>
        <w:rPr>
          <w:rFonts w:ascii="Arial" w:hAnsi="Arial" w:cs="Arial"/>
          <w:sz w:val="28"/>
          <w:szCs w:val="28"/>
        </w:rPr>
      </w:pPr>
      <w:r>
        <w:rPr>
          <w:rFonts w:ascii="Arial" w:hAnsi="Arial" w:cs="Arial"/>
          <w:sz w:val="28"/>
          <w:szCs w:val="28"/>
        </w:rPr>
        <w:t>Bacterial u</w:t>
      </w:r>
      <w:r w:rsidR="00662ADA" w:rsidRPr="00662ADA">
        <w:rPr>
          <w:rFonts w:ascii="Arial" w:hAnsi="Arial" w:cs="Arial"/>
          <w:sz w:val="28"/>
          <w:szCs w:val="28"/>
        </w:rPr>
        <w:t>rin</w:t>
      </w:r>
      <w:r w:rsidR="00A54073">
        <w:rPr>
          <w:rFonts w:ascii="Arial" w:hAnsi="Arial" w:cs="Arial"/>
          <w:sz w:val="28"/>
          <w:szCs w:val="28"/>
        </w:rPr>
        <w:t>ary tract infection</w:t>
      </w:r>
    </w:p>
    <w:p w14:paraId="48678E30" w14:textId="77777777" w:rsidR="001527FA" w:rsidRPr="001527FA" w:rsidRDefault="001527FA" w:rsidP="001527FA">
      <w:pPr>
        <w:pStyle w:val="ListParagraph"/>
        <w:spacing w:after="0"/>
        <w:rPr>
          <w:rFonts w:ascii="Arial" w:hAnsi="Arial" w:cs="Arial"/>
          <w:sz w:val="28"/>
          <w:szCs w:val="28"/>
        </w:rPr>
      </w:pPr>
    </w:p>
    <w:p w14:paraId="47C6ACE4" w14:textId="5FEB06F2" w:rsidR="00887799" w:rsidRPr="00342033" w:rsidRDefault="00887799">
      <w:pPr>
        <w:rPr>
          <w:rFonts w:ascii="Arial" w:hAnsi="Arial" w:cs="Arial"/>
          <w:b/>
          <w:sz w:val="28"/>
          <w:szCs w:val="28"/>
        </w:rPr>
      </w:pPr>
      <w:r w:rsidRPr="00342033">
        <w:rPr>
          <w:rFonts w:ascii="Arial" w:hAnsi="Arial" w:cs="Arial"/>
          <w:b/>
          <w:sz w:val="28"/>
          <w:szCs w:val="28"/>
        </w:rPr>
        <w:t xml:space="preserve">What does a </w:t>
      </w:r>
      <w:r w:rsidR="00662ADA" w:rsidRPr="00342033">
        <w:rPr>
          <w:rFonts w:ascii="Arial" w:hAnsi="Arial" w:cs="Arial"/>
          <w:b/>
          <w:sz w:val="28"/>
          <w:szCs w:val="28"/>
        </w:rPr>
        <w:t xml:space="preserve">MASTERMIND Study </w:t>
      </w:r>
      <w:r w:rsidRPr="00342033">
        <w:rPr>
          <w:rFonts w:ascii="Arial" w:hAnsi="Arial" w:cs="Arial"/>
          <w:b/>
          <w:sz w:val="28"/>
          <w:szCs w:val="28"/>
        </w:rPr>
        <w:t>look like</w:t>
      </w:r>
      <w:r w:rsidR="00BA36B1" w:rsidRPr="00DA548C">
        <w:rPr>
          <w:rFonts w:ascii="Arial" w:hAnsi="Arial" w:cs="Arial"/>
          <w:b/>
          <w:sz w:val="28"/>
          <w:szCs w:val="28"/>
          <w:vertAlign w:val="superscript"/>
        </w:rPr>
        <w:t>1</w:t>
      </w:r>
      <w:r w:rsidRPr="00342033">
        <w:rPr>
          <w:rFonts w:ascii="Arial" w:hAnsi="Arial" w:cs="Arial"/>
          <w:b/>
          <w:sz w:val="28"/>
          <w:szCs w:val="28"/>
        </w:rPr>
        <w:t xml:space="preserve">? </w:t>
      </w:r>
    </w:p>
    <w:p w14:paraId="2BE37E6C" w14:textId="77777777" w:rsidR="00A740EC" w:rsidRPr="00662ADA" w:rsidRDefault="00342033">
      <w:pPr>
        <w:rPr>
          <w:rFonts w:ascii="Arial" w:hAnsi="Arial" w:cs="Arial"/>
          <w:sz w:val="28"/>
          <w:szCs w:val="28"/>
        </w:rPr>
      </w:pPr>
      <w:r w:rsidRPr="00342033">
        <w:rPr>
          <w:rFonts w:ascii="Arial" w:hAnsi="Arial" w:cs="Arial"/>
          <w:noProof/>
          <w:sz w:val="28"/>
          <w:szCs w:val="28"/>
        </w:rPr>
        <w:drawing>
          <wp:inline distT="0" distB="0" distL="0" distR="0" wp14:anchorId="3ABB36AF" wp14:editId="07245284">
            <wp:extent cx="6800850" cy="20150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02" t="17382" r="3205" b="32466"/>
                    <a:stretch/>
                  </pic:blipFill>
                  <pic:spPr bwMode="auto">
                    <a:xfrm>
                      <a:off x="0" y="0"/>
                      <a:ext cx="6860803" cy="2032830"/>
                    </a:xfrm>
                    <a:prstGeom prst="rect">
                      <a:avLst/>
                    </a:prstGeom>
                    <a:ln>
                      <a:noFill/>
                    </a:ln>
                    <a:extLst>
                      <a:ext uri="{53640926-AAD7-44D8-BBD7-CCE9431645EC}">
                        <a14:shadowObscured xmlns:a14="http://schemas.microsoft.com/office/drawing/2010/main"/>
                      </a:ext>
                    </a:extLst>
                  </pic:spPr>
                </pic:pic>
              </a:graphicData>
            </a:graphic>
          </wp:inline>
        </w:drawing>
      </w:r>
    </w:p>
    <w:p w14:paraId="6F7BAA0F" w14:textId="3FAAE1E4" w:rsidR="002E63E7" w:rsidRPr="00C43A41" w:rsidRDefault="00C53FCB">
      <w:pPr>
        <w:rPr>
          <w:rFonts w:ascii="Arial" w:hAnsi="Arial" w:cs="Arial"/>
          <w:b/>
          <w:sz w:val="28"/>
          <w:szCs w:val="28"/>
        </w:rPr>
      </w:pPr>
      <w:r>
        <w:rPr>
          <w:rFonts w:ascii="Arial" w:hAnsi="Arial" w:cs="Arial"/>
          <w:b/>
          <w:sz w:val="28"/>
          <w:szCs w:val="28"/>
        </w:rPr>
        <w:t>Next Steps</w:t>
      </w:r>
      <w:r w:rsidR="00C43A41" w:rsidRPr="00C43A41">
        <w:rPr>
          <w:rFonts w:ascii="Arial" w:hAnsi="Arial" w:cs="Arial"/>
          <w:b/>
          <w:sz w:val="28"/>
          <w:szCs w:val="28"/>
        </w:rPr>
        <w:t>:</w:t>
      </w:r>
    </w:p>
    <w:p w14:paraId="5175B5AC" w14:textId="0C339A47" w:rsidR="00A54073" w:rsidRDefault="00A54073">
      <w:pPr>
        <w:rPr>
          <w:rFonts w:ascii="Arial" w:hAnsi="Arial" w:cs="Arial"/>
          <w:sz w:val="28"/>
          <w:szCs w:val="28"/>
        </w:rPr>
      </w:pPr>
      <w:r>
        <w:rPr>
          <w:rFonts w:ascii="Arial" w:hAnsi="Arial" w:cs="Arial"/>
          <w:sz w:val="28"/>
          <w:szCs w:val="28"/>
        </w:rPr>
        <w:t xml:space="preserve">The purpose of this letter is to introduce the MASTERMIND concept and identify potential partners for a study focusing on </w:t>
      </w:r>
      <w:r w:rsidR="00055481">
        <w:rPr>
          <w:rFonts w:ascii="Arial" w:hAnsi="Arial" w:cs="Arial"/>
          <w:sz w:val="28"/>
          <w:szCs w:val="28"/>
        </w:rPr>
        <w:t xml:space="preserve">bacterial </w:t>
      </w:r>
      <w:r>
        <w:rPr>
          <w:rFonts w:ascii="Arial" w:hAnsi="Arial" w:cs="Arial"/>
          <w:sz w:val="28"/>
          <w:szCs w:val="28"/>
        </w:rPr>
        <w:t xml:space="preserve">bloodstream infection or </w:t>
      </w:r>
      <w:r w:rsidR="00055481">
        <w:rPr>
          <w:rFonts w:ascii="Arial" w:hAnsi="Arial" w:cs="Arial"/>
          <w:sz w:val="28"/>
          <w:szCs w:val="28"/>
        </w:rPr>
        <w:t xml:space="preserve">bacterial </w:t>
      </w:r>
      <w:r>
        <w:rPr>
          <w:rFonts w:ascii="Arial" w:hAnsi="Arial" w:cs="Arial"/>
          <w:sz w:val="28"/>
          <w:szCs w:val="28"/>
        </w:rPr>
        <w:t xml:space="preserve">urinary tract infection. </w:t>
      </w:r>
      <w:r w:rsidR="00811352">
        <w:rPr>
          <w:rFonts w:ascii="Arial" w:hAnsi="Arial" w:cs="Arial"/>
          <w:sz w:val="28"/>
          <w:szCs w:val="28"/>
        </w:rPr>
        <w:t xml:space="preserve">ARLG will work in partnership with selected companies to plan study logistics and </w:t>
      </w:r>
      <w:r w:rsidR="00461A1F">
        <w:rPr>
          <w:rFonts w:ascii="Arial" w:hAnsi="Arial" w:cs="Arial"/>
          <w:sz w:val="28"/>
          <w:szCs w:val="28"/>
        </w:rPr>
        <w:t>study initiation will begin</w:t>
      </w:r>
      <w:r w:rsidR="00811352">
        <w:rPr>
          <w:rFonts w:ascii="Arial" w:hAnsi="Arial" w:cs="Arial"/>
          <w:sz w:val="28"/>
          <w:szCs w:val="28"/>
        </w:rPr>
        <w:t xml:space="preserve"> once ARLG funding is available or through a cost sharing plan</w:t>
      </w:r>
      <w:r w:rsidR="009A7B40">
        <w:rPr>
          <w:rFonts w:ascii="Arial" w:hAnsi="Arial" w:cs="Arial"/>
          <w:sz w:val="28"/>
          <w:szCs w:val="28"/>
        </w:rPr>
        <w:t xml:space="preserve"> with industry partners</w:t>
      </w:r>
      <w:r w:rsidR="00811352">
        <w:rPr>
          <w:rFonts w:ascii="Arial" w:hAnsi="Arial" w:cs="Arial"/>
          <w:sz w:val="28"/>
          <w:szCs w:val="28"/>
        </w:rPr>
        <w:t xml:space="preserve">. </w:t>
      </w:r>
      <w:r>
        <w:rPr>
          <w:rFonts w:ascii="Arial" w:hAnsi="Arial" w:cs="Arial"/>
          <w:sz w:val="28"/>
          <w:szCs w:val="28"/>
        </w:rPr>
        <w:t xml:space="preserve">Ideally, the proposed study would serve as </w:t>
      </w:r>
      <w:r w:rsidR="00D71944">
        <w:rPr>
          <w:rFonts w:ascii="Arial" w:hAnsi="Arial" w:cs="Arial"/>
          <w:sz w:val="28"/>
          <w:szCs w:val="28"/>
        </w:rPr>
        <w:t xml:space="preserve">a </w:t>
      </w:r>
      <w:r>
        <w:rPr>
          <w:rFonts w:ascii="Arial" w:hAnsi="Arial" w:cs="Arial"/>
          <w:sz w:val="28"/>
          <w:szCs w:val="28"/>
        </w:rPr>
        <w:t xml:space="preserve">pivotal, registrational study to support an application for FDA clearance. However, a </w:t>
      </w:r>
      <w:r>
        <w:rPr>
          <w:rFonts w:ascii="Arial" w:hAnsi="Arial" w:cs="Arial"/>
          <w:sz w:val="28"/>
          <w:szCs w:val="28"/>
        </w:rPr>
        <w:lastRenderedPageBreak/>
        <w:t xml:space="preserve">test earlier in development that would still benefit from such a clinical study </w:t>
      </w:r>
      <w:r w:rsidR="00A053E2">
        <w:rPr>
          <w:rFonts w:ascii="Arial" w:hAnsi="Arial" w:cs="Arial"/>
          <w:sz w:val="28"/>
          <w:szCs w:val="28"/>
        </w:rPr>
        <w:t>may</w:t>
      </w:r>
      <w:r>
        <w:rPr>
          <w:rFonts w:ascii="Arial" w:hAnsi="Arial" w:cs="Arial"/>
          <w:sz w:val="28"/>
          <w:szCs w:val="28"/>
        </w:rPr>
        <w:t xml:space="preserve"> also </w:t>
      </w:r>
      <w:r w:rsidR="00A053E2">
        <w:rPr>
          <w:rFonts w:ascii="Arial" w:hAnsi="Arial" w:cs="Arial"/>
          <w:sz w:val="28"/>
          <w:szCs w:val="28"/>
        </w:rPr>
        <w:t xml:space="preserve">be </w:t>
      </w:r>
      <w:r w:rsidR="00D71944">
        <w:rPr>
          <w:rFonts w:ascii="Arial" w:hAnsi="Arial" w:cs="Arial"/>
          <w:sz w:val="28"/>
          <w:szCs w:val="28"/>
        </w:rPr>
        <w:t>considered</w:t>
      </w:r>
      <w:r>
        <w:rPr>
          <w:rFonts w:ascii="Arial" w:hAnsi="Arial" w:cs="Arial"/>
          <w:sz w:val="28"/>
          <w:szCs w:val="28"/>
        </w:rPr>
        <w:t xml:space="preserve">.  </w:t>
      </w:r>
    </w:p>
    <w:p w14:paraId="2BC7696B" w14:textId="77777777" w:rsidR="00A54073" w:rsidRDefault="00A54073">
      <w:pPr>
        <w:rPr>
          <w:rFonts w:ascii="Arial" w:hAnsi="Arial" w:cs="Arial"/>
          <w:sz w:val="28"/>
          <w:szCs w:val="28"/>
        </w:rPr>
      </w:pPr>
      <w:r>
        <w:rPr>
          <w:rFonts w:ascii="Arial" w:hAnsi="Arial" w:cs="Arial"/>
          <w:sz w:val="28"/>
          <w:szCs w:val="28"/>
        </w:rPr>
        <w:t>Tests relevant to bloodstream infection include the following:</w:t>
      </w:r>
    </w:p>
    <w:p w14:paraId="1C23F0DC" w14:textId="77777777" w:rsidR="00A54073" w:rsidRDefault="00A54073" w:rsidP="00893903">
      <w:pPr>
        <w:pStyle w:val="ListParagraph"/>
        <w:numPr>
          <w:ilvl w:val="1"/>
          <w:numId w:val="4"/>
        </w:numPr>
        <w:rPr>
          <w:rFonts w:ascii="Arial" w:hAnsi="Arial" w:cs="Arial"/>
          <w:sz w:val="28"/>
          <w:szCs w:val="28"/>
        </w:rPr>
      </w:pPr>
      <w:r w:rsidRPr="00893903">
        <w:rPr>
          <w:rFonts w:ascii="Arial" w:hAnsi="Arial" w:cs="Arial"/>
          <w:sz w:val="28"/>
          <w:szCs w:val="28"/>
        </w:rPr>
        <w:t>Direct-from-blood pathogen detection</w:t>
      </w:r>
    </w:p>
    <w:p w14:paraId="29DBEA3C" w14:textId="270C6150" w:rsidR="00A053E2" w:rsidRPr="00893903" w:rsidRDefault="00A053E2" w:rsidP="00893903">
      <w:pPr>
        <w:pStyle w:val="ListParagraph"/>
        <w:numPr>
          <w:ilvl w:val="1"/>
          <w:numId w:val="4"/>
        </w:numPr>
        <w:rPr>
          <w:rFonts w:ascii="Arial" w:hAnsi="Arial" w:cs="Arial"/>
          <w:sz w:val="28"/>
          <w:szCs w:val="28"/>
        </w:rPr>
      </w:pPr>
      <w:r>
        <w:rPr>
          <w:rFonts w:ascii="Arial" w:hAnsi="Arial" w:cs="Arial"/>
          <w:sz w:val="28"/>
          <w:szCs w:val="28"/>
        </w:rPr>
        <w:t xml:space="preserve">Direct-from-blood </w:t>
      </w:r>
      <w:r w:rsidR="00D71944">
        <w:rPr>
          <w:rFonts w:ascii="Arial" w:hAnsi="Arial" w:cs="Arial"/>
          <w:sz w:val="28"/>
          <w:szCs w:val="28"/>
        </w:rPr>
        <w:t xml:space="preserve">antimicrobial </w:t>
      </w:r>
      <w:r>
        <w:rPr>
          <w:rFonts w:ascii="Arial" w:hAnsi="Arial" w:cs="Arial"/>
          <w:sz w:val="28"/>
          <w:szCs w:val="28"/>
        </w:rPr>
        <w:t>susceptibility testing</w:t>
      </w:r>
    </w:p>
    <w:p w14:paraId="74B5D01E" w14:textId="20FE00F2" w:rsidR="00A54073" w:rsidRPr="00893903" w:rsidRDefault="00A54073" w:rsidP="00893903">
      <w:pPr>
        <w:pStyle w:val="ListParagraph"/>
        <w:numPr>
          <w:ilvl w:val="1"/>
          <w:numId w:val="4"/>
        </w:numPr>
        <w:rPr>
          <w:rFonts w:ascii="Arial" w:hAnsi="Arial" w:cs="Arial"/>
          <w:sz w:val="28"/>
          <w:szCs w:val="28"/>
        </w:rPr>
      </w:pPr>
      <w:r w:rsidRPr="00893903">
        <w:rPr>
          <w:rFonts w:ascii="Arial" w:hAnsi="Arial" w:cs="Arial"/>
          <w:sz w:val="28"/>
          <w:szCs w:val="28"/>
        </w:rPr>
        <w:t>Rapid pathogen identification from positive blood culture</w:t>
      </w:r>
      <w:r w:rsidR="00D71944">
        <w:rPr>
          <w:rFonts w:ascii="Arial" w:hAnsi="Arial" w:cs="Arial"/>
          <w:sz w:val="28"/>
          <w:szCs w:val="28"/>
        </w:rPr>
        <w:t xml:space="preserve"> bottles</w:t>
      </w:r>
    </w:p>
    <w:p w14:paraId="7DFE044F" w14:textId="4B77174F" w:rsidR="00A54073" w:rsidRDefault="00A54073" w:rsidP="00893903">
      <w:pPr>
        <w:pStyle w:val="ListParagraph"/>
        <w:numPr>
          <w:ilvl w:val="1"/>
          <w:numId w:val="4"/>
        </w:numPr>
        <w:rPr>
          <w:rFonts w:ascii="Arial" w:hAnsi="Arial" w:cs="Arial"/>
          <w:sz w:val="28"/>
          <w:szCs w:val="28"/>
        </w:rPr>
      </w:pPr>
      <w:r w:rsidRPr="00893903">
        <w:rPr>
          <w:rFonts w:ascii="Arial" w:hAnsi="Arial" w:cs="Arial"/>
          <w:sz w:val="28"/>
          <w:szCs w:val="28"/>
        </w:rPr>
        <w:t xml:space="preserve">Rapid </w:t>
      </w:r>
      <w:r w:rsidR="00A053E2">
        <w:rPr>
          <w:rFonts w:ascii="Arial" w:hAnsi="Arial" w:cs="Arial"/>
          <w:sz w:val="28"/>
          <w:szCs w:val="28"/>
        </w:rPr>
        <w:t xml:space="preserve">susceptibility testing </w:t>
      </w:r>
      <w:r w:rsidR="00A053E2" w:rsidRPr="009F47D1">
        <w:rPr>
          <w:rFonts w:ascii="Arial" w:hAnsi="Arial" w:cs="Arial"/>
          <w:sz w:val="28"/>
          <w:szCs w:val="28"/>
        </w:rPr>
        <w:t>from positive blood culture</w:t>
      </w:r>
      <w:r w:rsidR="00D71944">
        <w:rPr>
          <w:rFonts w:ascii="Arial" w:hAnsi="Arial" w:cs="Arial"/>
          <w:sz w:val="28"/>
          <w:szCs w:val="28"/>
        </w:rPr>
        <w:t xml:space="preserve"> bottles</w:t>
      </w:r>
    </w:p>
    <w:p w14:paraId="14F83CD1" w14:textId="77777777" w:rsidR="00A053E2" w:rsidRPr="00893903" w:rsidRDefault="00A053E2" w:rsidP="00893903">
      <w:pPr>
        <w:pStyle w:val="ListParagraph"/>
        <w:numPr>
          <w:ilvl w:val="1"/>
          <w:numId w:val="4"/>
        </w:numPr>
        <w:rPr>
          <w:rFonts w:ascii="Arial" w:hAnsi="Arial" w:cs="Arial"/>
          <w:sz w:val="28"/>
          <w:szCs w:val="28"/>
        </w:rPr>
      </w:pPr>
      <w:r>
        <w:rPr>
          <w:rFonts w:ascii="Arial" w:hAnsi="Arial" w:cs="Arial"/>
          <w:sz w:val="28"/>
          <w:szCs w:val="28"/>
        </w:rPr>
        <w:t>Rapid blood culture</w:t>
      </w:r>
    </w:p>
    <w:p w14:paraId="1241E9FB" w14:textId="77777777" w:rsidR="00A54073" w:rsidRDefault="00A54073">
      <w:pPr>
        <w:rPr>
          <w:rFonts w:ascii="Arial" w:hAnsi="Arial" w:cs="Arial"/>
          <w:sz w:val="28"/>
          <w:szCs w:val="28"/>
        </w:rPr>
      </w:pPr>
      <w:r>
        <w:rPr>
          <w:rFonts w:ascii="Arial" w:hAnsi="Arial" w:cs="Arial"/>
          <w:sz w:val="28"/>
          <w:szCs w:val="28"/>
        </w:rPr>
        <w:t>Tests relevant to urinary tract infection include the following:</w:t>
      </w:r>
    </w:p>
    <w:p w14:paraId="05BA03AD" w14:textId="77777777" w:rsidR="00A54073" w:rsidRDefault="00A54073" w:rsidP="00893903">
      <w:pPr>
        <w:pStyle w:val="ListParagraph"/>
        <w:numPr>
          <w:ilvl w:val="1"/>
          <w:numId w:val="3"/>
        </w:numPr>
        <w:rPr>
          <w:rFonts w:ascii="Arial" w:hAnsi="Arial" w:cs="Arial"/>
          <w:sz w:val="28"/>
          <w:szCs w:val="28"/>
        </w:rPr>
      </w:pPr>
      <w:r w:rsidRPr="00893903">
        <w:rPr>
          <w:rFonts w:ascii="Arial" w:hAnsi="Arial" w:cs="Arial"/>
          <w:sz w:val="28"/>
          <w:szCs w:val="28"/>
        </w:rPr>
        <w:t xml:space="preserve">Rapid </w:t>
      </w:r>
      <w:r w:rsidR="00A053E2">
        <w:rPr>
          <w:rFonts w:ascii="Arial" w:hAnsi="Arial" w:cs="Arial"/>
          <w:sz w:val="28"/>
          <w:szCs w:val="28"/>
        </w:rPr>
        <w:t>detection</w:t>
      </w:r>
      <w:r w:rsidRPr="00893903">
        <w:rPr>
          <w:rFonts w:ascii="Arial" w:hAnsi="Arial" w:cs="Arial"/>
          <w:sz w:val="28"/>
          <w:szCs w:val="28"/>
        </w:rPr>
        <w:t xml:space="preserve"> of the presence of infection</w:t>
      </w:r>
    </w:p>
    <w:p w14:paraId="4C2BADE2" w14:textId="77777777" w:rsidR="00A053E2" w:rsidRPr="00893903" w:rsidRDefault="00A053E2" w:rsidP="00893903">
      <w:pPr>
        <w:pStyle w:val="ListParagraph"/>
        <w:numPr>
          <w:ilvl w:val="1"/>
          <w:numId w:val="3"/>
        </w:numPr>
        <w:rPr>
          <w:rFonts w:ascii="Arial" w:hAnsi="Arial" w:cs="Arial"/>
          <w:sz w:val="28"/>
          <w:szCs w:val="28"/>
        </w:rPr>
      </w:pPr>
      <w:r>
        <w:rPr>
          <w:rFonts w:ascii="Arial" w:hAnsi="Arial" w:cs="Arial"/>
          <w:sz w:val="28"/>
          <w:szCs w:val="28"/>
        </w:rPr>
        <w:t>Rapid differentiation of urinary tract infection from asymptomatic bacteriuria</w:t>
      </w:r>
    </w:p>
    <w:p w14:paraId="42BA8D1F" w14:textId="77777777" w:rsidR="00A54073" w:rsidRDefault="00A54073" w:rsidP="00893903">
      <w:pPr>
        <w:pStyle w:val="ListParagraph"/>
        <w:numPr>
          <w:ilvl w:val="1"/>
          <w:numId w:val="3"/>
        </w:numPr>
        <w:rPr>
          <w:rFonts w:ascii="Arial" w:hAnsi="Arial" w:cs="Arial"/>
          <w:sz w:val="28"/>
          <w:szCs w:val="28"/>
        </w:rPr>
      </w:pPr>
      <w:r w:rsidRPr="00893903">
        <w:rPr>
          <w:rFonts w:ascii="Arial" w:hAnsi="Arial" w:cs="Arial"/>
          <w:sz w:val="28"/>
          <w:szCs w:val="28"/>
        </w:rPr>
        <w:t>Direct-from-urine pathogen identification</w:t>
      </w:r>
    </w:p>
    <w:p w14:paraId="09C4A5D2" w14:textId="32C611E9" w:rsidR="00A053E2" w:rsidRPr="00893903" w:rsidRDefault="00A053E2" w:rsidP="00893903">
      <w:pPr>
        <w:pStyle w:val="ListParagraph"/>
        <w:numPr>
          <w:ilvl w:val="1"/>
          <w:numId w:val="3"/>
        </w:numPr>
        <w:rPr>
          <w:rFonts w:ascii="Arial" w:hAnsi="Arial" w:cs="Arial"/>
          <w:sz w:val="28"/>
          <w:szCs w:val="28"/>
        </w:rPr>
      </w:pPr>
      <w:r>
        <w:rPr>
          <w:rFonts w:ascii="Arial" w:hAnsi="Arial" w:cs="Arial"/>
          <w:sz w:val="28"/>
          <w:szCs w:val="28"/>
        </w:rPr>
        <w:t xml:space="preserve">Direct-from-urine </w:t>
      </w:r>
      <w:r w:rsidR="00D71944">
        <w:rPr>
          <w:rFonts w:ascii="Arial" w:hAnsi="Arial" w:cs="Arial"/>
          <w:sz w:val="28"/>
          <w:szCs w:val="28"/>
        </w:rPr>
        <w:t xml:space="preserve">antimicrobial </w:t>
      </w:r>
      <w:r>
        <w:rPr>
          <w:rFonts w:ascii="Arial" w:hAnsi="Arial" w:cs="Arial"/>
          <w:sz w:val="28"/>
          <w:szCs w:val="28"/>
        </w:rPr>
        <w:t>susceptibility testing</w:t>
      </w:r>
    </w:p>
    <w:p w14:paraId="581A2EAC" w14:textId="77777777" w:rsidR="001C221E" w:rsidRDefault="001C221E" w:rsidP="00A54073">
      <w:pPr>
        <w:rPr>
          <w:rFonts w:ascii="Arial" w:hAnsi="Arial" w:cs="Arial"/>
          <w:sz w:val="28"/>
          <w:szCs w:val="28"/>
        </w:rPr>
      </w:pPr>
      <w:r>
        <w:rPr>
          <w:rFonts w:ascii="Arial" w:hAnsi="Arial" w:cs="Arial"/>
          <w:sz w:val="28"/>
          <w:szCs w:val="28"/>
        </w:rPr>
        <w:t>Benefits of involvement in an ARLG-sponsored MASTERMIND study include the following:</w:t>
      </w:r>
    </w:p>
    <w:p w14:paraId="7F7D5DF6" w14:textId="77777777" w:rsidR="001C221E" w:rsidRPr="00811352" w:rsidRDefault="001C221E" w:rsidP="00893903">
      <w:pPr>
        <w:pStyle w:val="ListParagraph"/>
        <w:numPr>
          <w:ilvl w:val="1"/>
          <w:numId w:val="5"/>
        </w:numPr>
        <w:rPr>
          <w:rFonts w:ascii="Arial" w:hAnsi="Arial" w:cs="Arial"/>
          <w:sz w:val="28"/>
          <w:szCs w:val="28"/>
        </w:rPr>
      </w:pPr>
      <w:r w:rsidRPr="00741D28">
        <w:rPr>
          <w:rFonts w:ascii="Arial" w:hAnsi="Arial" w:cs="Arial"/>
          <w:sz w:val="28"/>
          <w:szCs w:val="28"/>
        </w:rPr>
        <w:t>Access to nationally renowned expertise (microbiology, infectious diseases, statistics, regulatory affairs)</w:t>
      </w:r>
    </w:p>
    <w:p w14:paraId="078AB2A3" w14:textId="13309058" w:rsidR="001C221E" w:rsidRDefault="00741D28">
      <w:pPr>
        <w:pStyle w:val="ListParagraph"/>
        <w:numPr>
          <w:ilvl w:val="1"/>
          <w:numId w:val="5"/>
        </w:numPr>
        <w:rPr>
          <w:rFonts w:ascii="Arial" w:hAnsi="Arial" w:cs="Arial"/>
          <w:sz w:val="28"/>
          <w:szCs w:val="28"/>
        </w:rPr>
      </w:pPr>
      <w:r w:rsidRPr="001E7925">
        <w:rPr>
          <w:rFonts w:ascii="Arial" w:hAnsi="Arial" w:cs="Arial"/>
          <w:sz w:val="28"/>
          <w:szCs w:val="28"/>
        </w:rPr>
        <w:t xml:space="preserve">Access to an international network of clinical sites, coordinated by </w:t>
      </w:r>
      <w:r w:rsidR="009A7B40">
        <w:rPr>
          <w:rFonts w:ascii="Arial" w:hAnsi="Arial" w:cs="Arial"/>
          <w:sz w:val="28"/>
          <w:szCs w:val="28"/>
        </w:rPr>
        <w:t>the Duke Clinical Research Institute (</w:t>
      </w:r>
      <w:r w:rsidRPr="001E7925">
        <w:rPr>
          <w:rFonts w:ascii="Arial" w:hAnsi="Arial" w:cs="Arial"/>
          <w:sz w:val="28"/>
          <w:szCs w:val="28"/>
        </w:rPr>
        <w:t>DCRI</w:t>
      </w:r>
      <w:r w:rsidR="009A7B40">
        <w:rPr>
          <w:rFonts w:ascii="Arial" w:hAnsi="Arial" w:cs="Arial"/>
          <w:sz w:val="28"/>
          <w:szCs w:val="28"/>
        </w:rPr>
        <w:t>)</w:t>
      </w:r>
    </w:p>
    <w:p w14:paraId="3BC1AE8E" w14:textId="491E3E3C" w:rsidR="009A7B40" w:rsidRPr="00C05CA3" w:rsidRDefault="009A7B40" w:rsidP="00893903">
      <w:pPr>
        <w:pStyle w:val="ListParagraph"/>
        <w:numPr>
          <w:ilvl w:val="1"/>
          <w:numId w:val="5"/>
        </w:numPr>
        <w:rPr>
          <w:rFonts w:ascii="Arial" w:hAnsi="Arial" w:cs="Arial"/>
          <w:sz w:val="28"/>
          <w:szCs w:val="28"/>
        </w:rPr>
      </w:pPr>
      <w:r>
        <w:rPr>
          <w:rFonts w:ascii="Arial" w:hAnsi="Arial" w:cs="Arial"/>
          <w:sz w:val="28"/>
          <w:szCs w:val="28"/>
        </w:rPr>
        <w:t xml:space="preserve">Study costs </w:t>
      </w:r>
      <w:r w:rsidR="00D71944">
        <w:rPr>
          <w:rFonts w:ascii="Arial" w:hAnsi="Arial" w:cs="Arial"/>
          <w:sz w:val="28"/>
          <w:szCs w:val="28"/>
        </w:rPr>
        <w:t>may</w:t>
      </w:r>
      <w:r>
        <w:rPr>
          <w:rFonts w:ascii="Arial" w:hAnsi="Arial" w:cs="Arial"/>
          <w:sz w:val="28"/>
          <w:szCs w:val="28"/>
        </w:rPr>
        <w:t xml:space="preserve"> be defrayed by cost-sharing, involving multiple industry participants and the ARLG</w:t>
      </w:r>
    </w:p>
    <w:p w14:paraId="6EF3CBE3" w14:textId="28465B77" w:rsidR="001C221E" w:rsidRPr="00741D28" w:rsidRDefault="009A7B40" w:rsidP="00893903">
      <w:pPr>
        <w:pStyle w:val="ListParagraph"/>
        <w:numPr>
          <w:ilvl w:val="1"/>
          <w:numId w:val="5"/>
        </w:numPr>
        <w:rPr>
          <w:rFonts w:ascii="Arial" w:hAnsi="Arial" w:cs="Arial"/>
          <w:sz w:val="28"/>
          <w:szCs w:val="28"/>
        </w:rPr>
      </w:pPr>
      <w:r>
        <w:rPr>
          <w:rFonts w:ascii="Arial" w:hAnsi="Arial" w:cs="Arial"/>
          <w:sz w:val="28"/>
          <w:szCs w:val="28"/>
        </w:rPr>
        <w:t>ARLG-managed c</w:t>
      </w:r>
      <w:r w:rsidR="001C221E" w:rsidRPr="00741D28">
        <w:rPr>
          <w:rFonts w:ascii="Arial" w:hAnsi="Arial" w:cs="Arial"/>
          <w:sz w:val="28"/>
          <w:szCs w:val="28"/>
        </w:rPr>
        <w:t>oordination among participants</w:t>
      </w:r>
    </w:p>
    <w:p w14:paraId="19E1B7E8" w14:textId="2E2FABA3" w:rsidR="001C221E" w:rsidRPr="00741D28" w:rsidRDefault="001C221E" w:rsidP="00893903">
      <w:pPr>
        <w:pStyle w:val="ListParagraph"/>
        <w:numPr>
          <w:ilvl w:val="1"/>
          <w:numId w:val="5"/>
        </w:numPr>
        <w:rPr>
          <w:rFonts w:ascii="Arial" w:hAnsi="Arial" w:cs="Arial"/>
          <w:sz w:val="28"/>
          <w:szCs w:val="28"/>
        </w:rPr>
      </w:pPr>
      <w:r w:rsidRPr="00741D28">
        <w:rPr>
          <w:rFonts w:ascii="Arial" w:hAnsi="Arial" w:cs="Arial"/>
          <w:sz w:val="28"/>
          <w:szCs w:val="28"/>
        </w:rPr>
        <w:t xml:space="preserve">Engagement with FDA throughout study planning </w:t>
      </w:r>
      <w:r w:rsidR="00D71944">
        <w:rPr>
          <w:rFonts w:ascii="Arial" w:hAnsi="Arial" w:cs="Arial"/>
          <w:sz w:val="28"/>
          <w:szCs w:val="28"/>
        </w:rPr>
        <w:t>and execution</w:t>
      </w:r>
    </w:p>
    <w:p w14:paraId="762457DA" w14:textId="75D86A06" w:rsidR="00C53FCB" w:rsidRPr="00C53FCB" w:rsidRDefault="001C221E" w:rsidP="00C53FCB">
      <w:pPr>
        <w:pStyle w:val="ListParagraph"/>
        <w:numPr>
          <w:ilvl w:val="1"/>
          <w:numId w:val="5"/>
        </w:numPr>
        <w:rPr>
          <w:rFonts w:ascii="Arial" w:hAnsi="Arial" w:cs="Arial"/>
          <w:sz w:val="28"/>
          <w:szCs w:val="28"/>
        </w:rPr>
      </w:pPr>
      <w:r w:rsidRPr="00893903">
        <w:rPr>
          <w:rFonts w:ascii="Arial" w:hAnsi="Arial" w:cs="Arial"/>
          <w:sz w:val="28"/>
          <w:szCs w:val="28"/>
        </w:rPr>
        <w:t>Full and complete access to study data pertaining to your test platform</w:t>
      </w:r>
      <w:r w:rsidR="00D5444D">
        <w:rPr>
          <w:rFonts w:ascii="Arial" w:hAnsi="Arial" w:cs="Arial"/>
          <w:sz w:val="28"/>
          <w:szCs w:val="28"/>
        </w:rPr>
        <w:t xml:space="preserve"> </w:t>
      </w:r>
      <w:r w:rsidR="009A7B40">
        <w:rPr>
          <w:rFonts w:ascii="Arial" w:hAnsi="Arial" w:cs="Arial"/>
          <w:sz w:val="28"/>
          <w:szCs w:val="28"/>
        </w:rPr>
        <w:t>upon</w:t>
      </w:r>
      <w:r w:rsidR="00D5444D">
        <w:rPr>
          <w:rFonts w:ascii="Arial" w:hAnsi="Arial" w:cs="Arial"/>
          <w:sz w:val="28"/>
          <w:szCs w:val="28"/>
        </w:rPr>
        <w:t xml:space="preserve"> study completion</w:t>
      </w:r>
    </w:p>
    <w:p w14:paraId="07F83C0C" w14:textId="77777777" w:rsidR="00662ADA" w:rsidRPr="002E780D" w:rsidRDefault="00662ADA">
      <w:pPr>
        <w:rPr>
          <w:rFonts w:ascii="Arial" w:hAnsi="Arial" w:cs="Arial"/>
          <w:b/>
          <w:sz w:val="28"/>
          <w:szCs w:val="28"/>
        </w:rPr>
      </w:pPr>
      <w:r w:rsidRPr="002E780D">
        <w:rPr>
          <w:rFonts w:ascii="Arial" w:hAnsi="Arial" w:cs="Arial"/>
          <w:b/>
          <w:sz w:val="28"/>
          <w:szCs w:val="28"/>
        </w:rPr>
        <w:t>To learn more</w:t>
      </w:r>
      <w:r w:rsidR="00342033" w:rsidRPr="002E780D">
        <w:rPr>
          <w:rFonts w:ascii="Arial" w:hAnsi="Arial" w:cs="Arial"/>
          <w:b/>
          <w:sz w:val="28"/>
          <w:szCs w:val="28"/>
        </w:rPr>
        <w:t xml:space="preserve"> </w:t>
      </w:r>
      <w:r w:rsidRPr="002E780D">
        <w:rPr>
          <w:rFonts w:ascii="Arial" w:hAnsi="Arial" w:cs="Arial"/>
          <w:b/>
          <w:sz w:val="28"/>
          <w:szCs w:val="28"/>
        </w:rPr>
        <w:t xml:space="preserve">or discuss participation in a MASTERMIND </w:t>
      </w:r>
      <w:r w:rsidR="00342033" w:rsidRPr="002E780D">
        <w:rPr>
          <w:rFonts w:ascii="Arial" w:hAnsi="Arial" w:cs="Arial"/>
          <w:b/>
          <w:sz w:val="28"/>
          <w:szCs w:val="28"/>
        </w:rPr>
        <w:t>s</w:t>
      </w:r>
      <w:r w:rsidRPr="002E780D">
        <w:rPr>
          <w:rFonts w:ascii="Arial" w:hAnsi="Arial" w:cs="Arial"/>
          <w:b/>
          <w:sz w:val="28"/>
          <w:szCs w:val="28"/>
        </w:rPr>
        <w:t xml:space="preserve">tudy please contact: </w:t>
      </w:r>
    </w:p>
    <w:p w14:paraId="603365C6" w14:textId="2A86B7D4" w:rsidR="00662ADA" w:rsidRPr="00B314F1" w:rsidRDefault="001D5B32" w:rsidP="00B314F1">
      <w:pPr>
        <w:spacing w:after="0" w:line="240" w:lineRule="auto"/>
        <w:rPr>
          <w:rFonts w:ascii="Arial" w:hAnsi="Arial" w:cs="Arial"/>
          <w:sz w:val="24"/>
          <w:szCs w:val="24"/>
        </w:rPr>
      </w:pPr>
      <w:r w:rsidRPr="00B314F1">
        <w:rPr>
          <w:rFonts w:ascii="Arial" w:hAnsi="Arial" w:cs="Arial"/>
          <w:sz w:val="24"/>
          <w:szCs w:val="24"/>
        </w:rPr>
        <w:t>Holly Geres</w:t>
      </w:r>
      <w:r w:rsidR="00C53FCB" w:rsidRPr="00B314F1">
        <w:rPr>
          <w:rFonts w:ascii="Arial" w:hAnsi="Arial" w:cs="Arial"/>
          <w:sz w:val="24"/>
          <w:szCs w:val="24"/>
        </w:rPr>
        <w:t xml:space="preserve">, </w:t>
      </w:r>
      <w:r w:rsidR="00662ADA" w:rsidRPr="00B314F1">
        <w:rPr>
          <w:rFonts w:ascii="Arial" w:hAnsi="Arial" w:cs="Arial"/>
          <w:sz w:val="24"/>
          <w:szCs w:val="24"/>
        </w:rPr>
        <w:t>Project Leader ll</w:t>
      </w:r>
      <w:r w:rsidRPr="00B314F1">
        <w:rPr>
          <w:rFonts w:ascii="Arial" w:hAnsi="Arial" w:cs="Arial"/>
          <w:sz w:val="24"/>
          <w:szCs w:val="24"/>
        </w:rPr>
        <w:t>I</w:t>
      </w:r>
      <w:bookmarkStart w:id="0" w:name="_GoBack"/>
      <w:bookmarkEnd w:id="0"/>
    </w:p>
    <w:p w14:paraId="2ED454BE" w14:textId="77777777" w:rsidR="00662ADA" w:rsidRPr="00B314F1" w:rsidRDefault="00662ADA" w:rsidP="00B314F1">
      <w:pPr>
        <w:spacing w:after="0" w:line="240" w:lineRule="auto"/>
        <w:rPr>
          <w:rFonts w:ascii="Arial" w:hAnsi="Arial" w:cs="Arial"/>
          <w:sz w:val="24"/>
          <w:szCs w:val="24"/>
        </w:rPr>
      </w:pPr>
      <w:r w:rsidRPr="00B314F1">
        <w:rPr>
          <w:rFonts w:ascii="Arial" w:hAnsi="Arial" w:cs="Arial"/>
          <w:bCs/>
          <w:sz w:val="24"/>
          <w:szCs w:val="24"/>
        </w:rPr>
        <w:t>Duke Clinical Research Institute</w:t>
      </w:r>
    </w:p>
    <w:p w14:paraId="60CD3256" w14:textId="77777777" w:rsidR="00B314F1" w:rsidRPr="00B314F1" w:rsidRDefault="00B314F1" w:rsidP="00B314F1">
      <w:pPr>
        <w:spacing w:after="0" w:line="240" w:lineRule="auto"/>
        <w:rPr>
          <w:rFonts w:ascii="Arial" w:hAnsi="Arial" w:cs="Arial"/>
          <w:color w:val="000000"/>
          <w:sz w:val="24"/>
          <w:szCs w:val="24"/>
        </w:rPr>
      </w:pPr>
      <w:r w:rsidRPr="00B314F1">
        <w:rPr>
          <w:rFonts w:ascii="Arial" w:hAnsi="Arial" w:cs="Arial"/>
          <w:color w:val="000000"/>
          <w:sz w:val="24"/>
          <w:szCs w:val="24"/>
        </w:rPr>
        <w:t>Office: 252-635-1701</w:t>
      </w:r>
    </w:p>
    <w:p w14:paraId="3B10F41F" w14:textId="77777777" w:rsidR="00B314F1" w:rsidRPr="00B314F1" w:rsidRDefault="00B314F1" w:rsidP="00B314F1">
      <w:pPr>
        <w:spacing w:after="0" w:line="240" w:lineRule="auto"/>
        <w:rPr>
          <w:rFonts w:ascii="Arial" w:hAnsi="Arial" w:cs="Arial"/>
          <w:color w:val="000000"/>
          <w:sz w:val="24"/>
          <w:szCs w:val="24"/>
        </w:rPr>
      </w:pPr>
      <w:r w:rsidRPr="00B314F1">
        <w:rPr>
          <w:rFonts w:ascii="Arial" w:hAnsi="Arial" w:cs="Arial"/>
          <w:color w:val="000000"/>
          <w:sz w:val="24"/>
          <w:szCs w:val="24"/>
        </w:rPr>
        <w:t>Cell: 919-338-6924</w:t>
      </w:r>
    </w:p>
    <w:p w14:paraId="4AE372D1" w14:textId="35D07943" w:rsidR="00887799" w:rsidRPr="00B314F1" w:rsidRDefault="009E2464" w:rsidP="00B314F1">
      <w:pPr>
        <w:spacing w:after="0" w:line="240" w:lineRule="auto"/>
        <w:rPr>
          <w:rStyle w:val="Hyperlink"/>
          <w:rFonts w:ascii="Arial" w:hAnsi="Arial" w:cs="Arial"/>
          <w:sz w:val="24"/>
          <w:szCs w:val="24"/>
        </w:rPr>
      </w:pPr>
      <w:hyperlink r:id="rId9" w:history="1">
        <w:r w:rsidR="001D5B32" w:rsidRPr="00B314F1">
          <w:rPr>
            <w:rStyle w:val="Hyperlink"/>
            <w:rFonts w:ascii="Arial" w:hAnsi="Arial" w:cs="Arial"/>
            <w:sz w:val="24"/>
            <w:szCs w:val="24"/>
          </w:rPr>
          <w:t>holly.geres@duke.edu</w:t>
        </w:r>
      </w:hyperlink>
    </w:p>
    <w:p w14:paraId="28BD4697" w14:textId="77777777" w:rsidR="00C53FCB" w:rsidRDefault="00C53FCB" w:rsidP="00662ADA">
      <w:pPr>
        <w:spacing w:after="0" w:line="240" w:lineRule="auto"/>
        <w:rPr>
          <w:rStyle w:val="Hyperlink"/>
          <w:rFonts w:ascii="Arial" w:hAnsi="Arial" w:cs="Arial"/>
          <w:sz w:val="24"/>
          <w:szCs w:val="24"/>
        </w:rPr>
      </w:pPr>
    </w:p>
    <w:p w14:paraId="29DEDAF9" w14:textId="1C39C642" w:rsidR="00C53FCB" w:rsidRPr="008B4848" w:rsidRDefault="006F1707" w:rsidP="00C53FCB">
      <w:pPr>
        <w:spacing w:after="0"/>
        <w:rPr>
          <w:rFonts w:ascii="Arial" w:hAnsi="Arial" w:cs="Arial"/>
          <w:b/>
          <w:sz w:val="28"/>
          <w:szCs w:val="28"/>
        </w:rPr>
      </w:pPr>
      <w:r>
        <w:rPr>
          <w:rFonts w:ascii="Arial" w:hAnsi="Arial" w:cs="Arial"/>
          <w:b/>
          <w:sz w:val="28"/>
          <w:szCs w:val="28"/>
        </w:rPr>
        <w:t>Reference:</w:t>
      </w:r>
    </w:p>
    <w:p w14:paraId="0049CA34" w14:textId="58A72D39" w:rsidR="00C53FCB" w:rsidRPr="00B314F1" w:rsidRDefault="00C53FCB" w:rsidP="00DA548C">
      <w:pPr>
        <w:pStyle w:val="ListParagraph"/>
        <w:numPr>
          <w:ilvl w:val="0"/>
          <w:numId w:val="6"/>
        </w:numPr>
        <w:spacing w:after="0" w:line="240" w:lineRule="auto"/>
        <w:rPr>
          <w:rFonts w:ascii="Arial" w:hAnsi="Arial" w:cs="Arial"/>
          <w:sz w:val="20"/>
          <w:szCs w:val="20"/>
        </w:rPr>
      </w:pPr>
      <w:r w:rsidRPr="00B314F1">
        <w:rPr>
          <w:rFonts w:ascii="Arial" w:hAnsi="Arial" w:cs="Arial"/>
          <w:sz w:val="20"/>
          <w:szCs w:val="20"/>
        </w:rPr>
        <w:t xml:space="preserve">Patel, R., Tsalik, E.L., Petzold, E., Fowler, V., Klausner, J.D. and Evans, S. MASTERMIND – Bringing Microbial Diagnostics to the Clinic. </w:t>
      </w:r>
      <w:r w:rsidR="008B4848" w:rsidRPr="00B314F1">
        <w:rPr>
          <w:rFonts w:ascii="Arial" w:hAnsi="Arial" w:cs="Arial"/>
          <w:i/>
          <w:sz w:val="20"/>
          <w:szCs w:val="20"/>
          <w:lang w:val="en"/>
        </w:rPr>
        <w:t>Clin Infect Dis</w:t>
      </w:r>
      <w:r w:rsidR="008B4848" w:rsidRPr="00B314F1">
        <w:rPr>
          <w:rFonts w:ascii="Arial" w:hAnsi="Arial" w:cs="Arial"/>
          <w:sz w:val="20"/>
          <w:szCs w:val="20"/>
          <w:lang w:val="en"/>
        </w:rPr>
        <w:t xml:space="preserve">. </w:t>
      </w:r>
      <w:r w:rsidR="00730027" w:rsidRPr="00B314F1">
        <w:rPr>
          <w:rFonts w:ascii="Arial" w:hAnsi="Arial" w:cs="Arial"/>
          <w:sz w:val="20"/>
          <w:szCs w:val="20"/>
          <w:lang w:val="en"/>
        </w:rPr>
        <w:t xml:space="preserve">2016, </w:t>
      </w:r>
      <w:r w:rsidR="008B4848" w:rsidRPr="00B314F1">
        <w:rPr>
          <w:rFonts w:ascii="Arial" w:hAnsi="Arial" w:cs="Arial"/>
          <w:sz w:val="20"/>
          <w:szCs w:val="20"/>
          <w:lang w:val="en"/>
        </w:rPr>
        <w:t xml:space="preserve">doi: </w:t>
      </w:r>
      <w:r w:rsidR="008B4848" w:rsidRPr="00B314F1">
        <w:rPr>
          <w:rStyle w:val="slug-doi"/>
          <w:rFonts w:ascii="Arial" w:hAnsi="Arial" w:cs="Arial"/>
          <w:sz w:val="20"/>
          <w:szCs w:val="20"/>
          <w:lang w:val="en"/>
        </w:rPr>
        <w:t>10.1093/cid/ciw788.</w:t>
      </w:r>
      <w:r w:rsidR="00BA36B1" w:rsidRPr="00B314F1">
        <w:rPr>
          <w:rStyle w:val="slug-doi"/>
          <w:rFonts w:ascii="Arial" w:hAnsi="Arial" w:cs="Arial"/>
          <w:sz w:val="20"/>
          <w:szCs w:val="20"/>
          <w:lang w:val="en"/>
        </w:rPr>
        <w:t xml:space="preserve"> Published by Oxford University Press.</w:t>
      </w:r>
    </w:p>
    <w:sectPr w:rsidR="00C53FCB" w:rsidRPr="00B314F1" w:rsidSect="00A54073">
      <w:headerReference w:type="default" r:id="rId10"/>
      <w:footerReference w:type="default" r:id="rId11"/>
      <w:pgSz w:w="12240" w:h="15840"/>
      <w:pgMar w:top="961" w:right="720" w:bottom="720" w:left="720" w:header="144"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73BA" w14:textId="77777777" w:rsidR="009E2464" w:rsidRDefault="009E2464" w:rsidP="00662ADA">
      <w:pPr>
        <w:spacing w:after="0" w:line="240" w:lineRule="auto"/>
      </w:pPr>
      <w:r>
        <w:separator/>
      </w:r>
    </w:p>
  </w:endnote>
  <w:endnote w:type="continuationSeparator" w:id="0">
    <w:p w14:paraId="72CCFF46" w14:textId="77777777" w:rsidR="009E2464" w:rsidRDefault="009E2464" w:rsidP="0066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31562"/>
      <w:docPartObj>
        <w:docPartGallery w:val="Page Numbers (Bottom of Page)"/>
        <w:docPartUnique/>
      </w:docPartObj>
    </w:sdtPr>
    <w:sdtEndPr/>
    <w:sdtContent>
      <w:sdt>
        <w:sdtPr>
          <w:id w:val="1183706287"/>
          <w:docPartObj>
            <w:docPartGallery w:val="Page Numbers (Top of Page)"/>
            <w:docPartUnique/>
          </w:docPartObj>
        </w:sdtPr>
        <w:sdtEndPr/>
        <w:sdtContent>
          <w:p w14:paraId="34256F7D" w14:textId="6833D8BC" w:rsidR="00342033" w:rsidRDefault="00342033" w:rsidP="00342033">
            <w:pPr>
              <w:pStyle w:val="Foot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sidR="00B314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4F1">
              <w:rPr>
                <w:b/>
                <w:bCs/>
                <w:noProof/>
              </w:rPr>
              <w:t>2</w:t>
            </w:r>
            <w:r>
              <w:rPr>
                <w:b/>
                <w:bCs/>
                <w:sz w:val="24"/>
                <w:szCs w:val="24"/>
              </w:rPr>
              <w:fldChar w:fldCharType="end"/>
            </w:r>
          </w:p>
        </w:sdtContent>
      </w:sdt>
    </w:sdtContent>
  </w:sdt>
  <w:p w14:paraId="1B32EA6D" w14:textId="6405CED6" w:rsidR="00342033" w:rsidRDefault="008B4848">
    <w:pPr>
      <w:pStyle w:val="Footer"/>
    </w:pPr>
    <w:r>
      <w:t>Version 1: 1</w:t>
    </w:r>
    <w:r w:rsidR="00E433B8">
      <w:t>3</w:t>
    </w:r>
    <w:r w:rsidR="00342033">
      <w:t>-</w:t>
    </w:r>
    <w:r w:rsidR="00A15732">
      <w:t>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A045" w14:textId="77777777" w:rsidR="009E2464" w:rsidRDefault="009E2464" w:rsidP="00662ADA">
      <w:pPr>
        <w:spacing w:after="0" w:line="240" w:lineRule="auto"/>
      </w:pPr>
      <w:r>
        <w:separator/>
      </w:r>
    </w:p>
  </w:footnote>
  <w:footnote w:type="continuationSeparator" w:id="0">
    <w:p w14:paraId="688E2246" w14:textId="77777777" w:rsidR="009E2464" w:rsidRDefault="009E2464" w:rsidP="0066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A503" w14:textId="77777777" w:rsidR="00483140" w:rsidRDefault="00A54073" w:rsidP="00483140">
    <w:pPr>
      <w:pStyle w:val="Header"/>
      <w:tabs>
        <w:tab w:val="clear" w:pos="4680"/>
        <w:tab w:val="clear" w:pos="9360"/>
        <w:tab w:val="left" w:pos="328"/>
        <w:tab w:val="left" w:pos="1515"/>
        <w:tab w:val="center" w:pos="5400"/>
      </w:tabs>
      <w:rPr>
        <w:rFonts w:ascii="Arial" w:hAnsi="Arial" w:cs="Arial"/>
        <w:color w:val="4472C4" w:themeColor="accent5"/>
        <w:sz w:val="40"/>
        <w:szCs w:val="40"/>
      </w:rPr>
    </w:pPr>
    <w:r>
      <w:rPr>
        <w:noProof/>
      </w:rPr>
      <w:drawing>
        <wp:inline distT="0" distB="0" distL="0" distR="0" wp14:anchorId="7002DABA" wp14:editId="388E10A6">
          <wp:extent cx="1990725" cy="551357"/>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g_logowhite.jpg"/>
                  <pic:cNvPicPr/>
                </pic:nvPicPr>
                <pic:blipFill>
                  <a:blip r:embed="rId1">
                    <a:extLst>
                      <a:ext uri="{28A0092B-C50C-407E-A947-70E740481C1C}">
                        <a14:useLocalDpi xmlns:a14="http://schemas.microsoft.com/office/drawing/2010/main" val="0"/>
                      </a:ext>
                    </a:extLst>
                  </a:blip>
                  <a:stretch>
                    <a:fillRect/>
                  </a:stretch>
                </pic:blipFill>
                <pic:spPr>
                  <a:xfrm>
                    <a:off x="0" y="0"/>
                    <a:ext cx="2023866" cy="560536"/>
                  </a:xfrm>
                  <a:prstGeom prst="rect">
                    <a:avLst/>
                  </a:prstGeom>
                </pic:spPr>
              </pic:pic>
            </a:graphicData>
          </a:graphic>
        </wp:inline>
      </w:drawing>
    </w:r>
    <w:r w:rsidR="00483140">
      <w:rPr>
        <w:rFonts w:ascii="Arial" w:hAnsi="Arial" w:cs="Arial"/>
        <w:color w:val="4472C4" w:themeColor="accent5"/>
        <w:sz w:val="40"/>
        <w:szCs w:val="40"/>
      </w:rPr>
      <w:tab/>
    </w:r>
    <w:r w:rsidR="00483140">
      <w:rPr>
        <w:rFonts w:ascii="Arial" w:hAnsi="Arial" w:cs="Arial"/>
        <w:color w:val="4472C4" w:themeColor="accent5"/>
        <w:sz w:val="40"/>
        <w:szCs w:val="40"/>
      </w:rPr>
      <w:tab/>
    </w:r>
  </w:p>
  <w:p w14:paraId="46F838B0" w14:textId="77777777" w:rsidR="00662ADA" w:rsidRDefault="00A54073" w:rsidP="00483140">
    <w:pPr>
      <w:pStyle w:val="Header"/>
      <w:tabs>
        <w:tab w:val="clear" w:pos="4680"/>
        <w:tab w:val="clear" w:pos="9360"/>
        <w:tab w:val="left" w:pos="328"/>
        <w:tab w:val="left" w:pos="1515"/>
        <w:tab w:val="center" w:pos="5400"/>
      </w:tabs>
      <w:jc w:val="center"/>
      <w:rPr>
        <w:rFonts w:ascii="Arial" w:hAnsi="Arial" w:cs="Arial"/>
        <w:b/>
        <w:color w:val="4472C4" w:themeColor="accent5"/>
        <w:sz w:val="44"/>
        <w:szCs w:val="44"/>
      </w:rPr>
    </w:pPr>
    <w:r>
      <w:rPr>
        <w:rFonts w:ascii="Arial" w:hAnsi="Arial" w:cs="Arial"/>
        <w:b/>
        <w:color w:val="4472C4" w:themeColor="accent5"/>
        <w:sz w:val="44"/>
        <w:szCs w:val="44"/>
      </w:rPr>
      <w:t>Antibacterial Resistance Leadership Group (ARLG)</w:t>
    </w:r>
  </w:p>
  <w:p w14:paraId="3BA38530" w14:textId="77777777" w:rsidR="00A54073" w:rsidRPr="00483140" w:rsidRDefault="00A54073" w:rsidP="00483140">
    <w:pPr>
      <w:pStyle w:val="Header"/>
      <w:tabs>
        <w:tab w:val="clear" w:pos="4680"/>
        <w:tab w:val="clear" w:pos="9360"/>
        <w:tab w:val="left" w:pos="328"/>
        <w:tab w:val="left" w:pos="1515"/>
        <w:tab w:val="center" w:pos="5400"/>
      </w:tabs>
      <w:jc w:val="center"/>
      <w:rPr>
        <w:b/>
        <w:color w:val="4472C4" w:themeColor="accent5"/>
        <w:sz w:val="44"/>
        <w:szCs w:val="44"/>
      </w:rPr>
    </w:pPr>
    <w:r>
      <w:rPr>
        <w:rFonts w:ascii="Arial" w:hAnsi="Arial" w:cs="Arial"/>
        <w:b/>
        <w:color w:val="4472C4" w:themeColor="accent5"/>
        <w:sz w:val="44"/>
        <w:szCs w:val="44"/>
      </w:rPr>
      <w:t>MASTERMIND Study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688"/>
    <w:multiLevelType w:val="hybridMultilevel"/>
    <w:tmpl w:val="008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B3CAC"/>
    <w:multiLevelType w:val="hybridMultilevel"/>
    <w:tmpl w:val="86DA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464C"/>
    <w:multiLevelType w:val="hybridMultilevel"/>
    <w:tmpl w:val="1B5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37A04"/>
    <w:multiLevelType w:val="hybridMultilevel"/>
    <w:tmpl w:val="78A0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0001C"/>
    <w:multiLevelType w:val="hybridMultilevel"/>
    <w:tmpl w:val="142A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E323D"/>
    <w:multiLevelType w:val="hybridMultilevel"/>
    <w:tmpl w:val="16C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99"/>
    <w:rsid w:val="00055481"/>
    <w:rsid w:val="000D463F"/>
    <w:rsid w:val="000D77F1"/>
    <w:rsid w:val="000F3131"/>
    <w:rsid w:val="001527FA"/>
    <w:rsid w:val="00156F6C"/>
    <w:rsid w:val="001637A9"/>
    <w:rsid w:val="001C221E"/>
    <w:rsid w:val="001D5B32"/>
    <w:rsid w:val="001E7925"/>
    <w:rsid w:val="002D4198"/>
    <w:rsid w:val="002D504F"/>
    <w:rsid w:val="002E63E7"/>
    <w:rsid w:val="002E780D"/>
    <w:rsid w:val="00324D56"/>
    <w:rsid w:val="00342033"/>
    <w:rsid w:val="00354B6D"/>
    <w:rsid w:val="003F0819"/>
    <w:rsid w:val="00406702"/>
    <w:rsid w:val="00422DB3"/>
    <w:rsid w:val="00461A1F"/>
    <w:rsid w:val="00483140"/>
    <w:rsid w:val="00550215"/>
    <w:rsid w:val="005B1EEB"/>
    <w:rsid w:val="005D3243"/>
    <w:rsid w:val="006337C2"/>
    <w:rsid w:val="00662ADA"/>
    <w:rsid w:val="006F1707"/>
    <w:rsid w:val="006F1B42"/>
    <w:rsid w:val="006F1C55"/>
    <w:rsid w:val="00730027"/>
    <w:rsid w:val="00741D28"/>
    <w:rsid w:val="00760876"/>
    <w:rsid w:val="007A0523"/>
    <w:rsid w:val="007A11CF"/>
    <w:rsid w:val="007D2497"/>
    <w:rsid w:val="00811352"/>
    <w:rsid w:val="00844346"/>
    <w:rsid w:val="00887799"/>
    <w:rsid w:val="00893903"/>
    <w:rsid w:val="008A27CE"/>
    <w:rsid w:val="008B4848"/>
    <w:rsid w:val="00922C8A"/>
    <w:rsid w:val="009511DA"/>
    <w:rsid w:val="009A7B40"/>
    <w:rsid w:val="009D4F14"/>
    <w:rsid w:val="009E2464"/>
    <w:rsid w:val="009E5AA4"/>
    <w:rsid w:val="00A020F5"/>
    <w:rsid w:val="00A053E2"/>
    <w:rsid w:val="00A15732"/>
    <w:rsid w:val="00A54073"/>
    <w:rsid w:val="00A740EC"/>
    <w:rsid w:val="00B314F1"/>
    <w:rsid w:val="00B8450B"/>
    <w:rsid w:val="00B94CED"/>
    <w:rsid w:val="00BA36B1"/>
    <w:rsid w:val="00BC4471"/>
    <w:rsid w:val="00BD61A8"/>
    <w:rsid w:val="00BF6CE1"/>
    <w:rsid w:val="00C05CA3"/>
    <w:rsid w:val="00C43A41"/>
    <w:rsid w:val="00C53FCB"/>
    <w:rsid w:val="00D5444D"/>
    <w:rsid w:val="00D71944"/>
    <w:rsid w:val="00D8031E"/>
    <w:rsid w:val="00D955AE"/>
    <w:rsid w:val="00DA548C"/>
    <w:rsid w:val="00DF5FAB"/>
    <w:rsid w:val="00E433B8"/>
    <w:rsid w:val="00EA6751"/>
    <w:rsid w:val="00F236EA"/>
    <w:rsid w:val="00F74CF8"/>
    <w:rsid w:val="00FA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ADCD0"/>
  <w15:docId w15:val="{D78CE67A-BC8B-442A-AE1C-C911CB4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DA"/>
    <w:pPr>
      <w:ind w:left="720"/>
      <w:contextualSpacing/>
    </w:pPr>
  </w:style>
  <w:style w:type="character" w:styleId="Hyperlink">
    <w:name w:val="Hyperlink"/>
    <w:basedOn w:val="DefaultParagraphFont"/>
    <w:uiPriority w:val="99"/>
    <w:unhideWhenUsed/>
    <w:rsid w:val="00662ADA"/>
    <w:rPr>
      <w:color w:val="0000FF"/>
      <w:u w:val="single"/>
    </w:rPr>
  </w:style>
  <w:style w:type="paragraph" w:styleId="Header">
    <w:name w:val="header"/>
    <w:basedOn w:val="Normal"/>
    <w:link w:val="HeaderChar"/>
    <w:uiPriority w:val="99"/>
    <w:unhideWhenUsed/>
    <w:rsid w:val="0066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DA"/>
  </w:style>
  <w:style w:type="paragraph" w:styleId="Footer">
    <w:name w:val="footer"/>
    <w:basedOn w:val="Normal"/>
    <w:link w:val="FooterChar"/>
    <w:uiPriority w:val="99"/>
    <w:unhideWhenUsed/>
    <w:rsid w:val="0066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DA"/>
  </w:style>
  <w:style w:type="paragraph" w:styleId="BalloonText">
    <w:name w:val="Balloon Text"/>
    <w:basedOn w:val="Normal"/>
    <w:link w:val="BalloonTextChar"/>
    <w:uiPriority w:val="99"/>
    <w:semiHidden/>
    <w:unhideWhenUsed/>
    <w:rsid w:val="00A54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73"/>
    <w:rPr>
      <w:rFonts w:ascii="Segoe UI" w:hAnsi="Segoe UI" w:cs="Segoe UI"/>
      <w:sz w:val="18"/>
      <w:szCs w:val="18"/>
    </w:rPr>
  </w:style>
  <w:style w:type="character" w:styleId="CommentReference">
    <w:name w:val="annotation reference"/>
    <w:basedOn w:val="DefaultParagraphFont"/>
    <w:uiPriority w:val="99"/>
    <w:semiHidden/>
    <w:unhideWhenUsed/>
    <w:rsid w:val="00A54073"/>
    <w:rPr>
      <w:sz w:val="16"/>
      <w:szCs w:val="16"/>
    </w:rPr>
  </w:style>
  <w:style w:type="paragraph" w:styleId="CommentText">
    <w:name w:val="annotation text"/>
    <w:basedOn w:val="Normal"/>
    <w:link w:val="CommentTextChar"/>
    <w:uiPriority w:val="99"/>
    <w:semiHidden/>
    <w:unhideWhenUsed/>
    <w:rsid w:val="00A54073"/>
    <w:pPr>
      <w:spacing w:line="240" w:lineRule="auto"/>
    </w:pPr>
    <w:rPr>
      <w:sz w:val="20"/>
      <w:szCs w:val="20"/>
    </w:rPr>
  </w:style>
  <w:style w:type="character" w:customStyle="1" w:styleId="CommentTextChar">
    <w:name w:val="Comment Text Char"/>
    <w:basedOn w:val="DefaultParagraphFont"/>
    <w:link w:val="CommentText"/>
    <w:uiPriority w:val="99"/>
    <w:semiHidden/>
    <w:rsid w:val="00A54073"/>
    <w:rPr>
      <w:sz w:val="20"/>
      <w:szCs w:val="20"/>
    </w:rPr>
  </w:style>
  <w:style w:type="paragraph" w:styleId="CommentSubject">
    <w:name w:val="annotation subject"/>
    <w:basedOn w:val="CommentText"/>
    <w:next w:val="CommentText"/>
    <w:link w:val="CommentSubjectChar"/>
    <w:uiPriority w:val="99"/>
    <w:semiHidden/>
    <w:unhideWhenUsed/>
    <w:rsid w:val="00A54073"/>
    <w:rPr>
      <w:b/>
      <w:bCs/>
    </w:rPr>
  </w:style>
  <w:style w:type="character" w:customStyle="1" w:styleId="CommentSubjectChar">
    <w:name w:val="Comment Subject Char"/>
    <w:basedOn w:val="CommentTextChar"/>
    <w:link w:val="CommentSubject"/>
    <w:uiPriority w:val="99"/>
    <w:semiHidden/>
    <w:rsid w:val="00A54073"/>
    <w:rPr>
      <w:b/>
      <w:bCs/>
      <w:sz w:val="20"/>
      <w:szCs w:val="20"/>
    </w:rPr>
  </w:style>
  <w:style w:type="paragraph" w:styleId="Revision">
    <w:name w:val="Revision"/>
    <w:hidden/>
    <w:uiPriority w:val="99"/>
    <w:semiHidden/>
    <w:rsid w:val="00422DB3"/>
    <w:pPr>
      <w:spacing w:after="0" w:line="240" w:lineRule="auto"/>
    </w:pPr>
  </w:style>
  <w:style w:type="character" w:customStyle="1" w:styleId="slug-doi">
    <w:name w:val="slug-doi"/>
    <w:basedOn w:val="DefaultParagraphFont"/>
    <w:rsid w:val="008B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97">
      <w:bodyDiv w:val="1"/>
      <w:marLeft w:val="0"/>
      <w:marRight w:val="0"/>
      <w:marTop w:val="0"/>
      <w:marBottom w:val="0"/>
      <w:divBdr>
        <w:top w:val="none" w:sz="0" w:space="0" w:color="auto"/>
        <w:left w:val="none" w:sz="0" w:space="0" w:color="auto"/>
        <w:bottom w:val="none" w:sz="0" w:space="0" w:color="auto"/>
        <w:right w:val="none" w:sz="0" w:space="0" w:color="auto"/>
      </w:divBdr>
    </w:div>
    <w:div w:id="9781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lly.geres@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C862-50B5-419F-9146-1D217342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Sund</dc:creator>
  <cp:lastModifiedBy>Zoe Sund</cp:lastModifiedBy>
  <cp:revision>11</cp:revision>
  <dcterms:created xsi:type="dcterms:W3CDTF">2017-01-13T03:49:00Z</dcterms:created>
  <dcterms:modified xsi:type="dcterms:W3CDTF">2017-02-07T16:19:00Z</dcterms:modified>
</cp:coreProperties>
</file>